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502" w14:textId="77777777" w:rsidR="00713081" w:rsidRDefault="00713081" w:rsidP="00713081">
      <w:pPr>
        <w:pStyle w:val="Tijeloteksta"/>
        <w:tabs>
          <w:tab w:val="left" w:pos="2095"/>
          <w:tab w:val="left" w:pos="9336"/>
        </w:tabs>
        <w:spacing w:before="92"/>
        <w:rPr>
          <w:rFonts w:ascii="Chaparral Pro" w:hAnsi="Chaparral Pro"/>
          <w:color w:val="58595B"/>
          <w:shd w:val="clear" w:color="auto" w:fill="FAFAFA"/>
        </w:rPr>
      </w:pPr>
    </w:p>
    <w:p w14:paraId="7A54CE5E" w14:textId="51EEF640" w:rsidR="004C7B5D" w:rsidRDefault="004C7B5D" w:rsidP="00713081">
      <w:pPr>
        <w:pStyle w:val="Tijeloteksta"/>
        <w:tabs>
          <w:tab w:val="left" w:pos="2095"/>
          <w:tab w:val="left" w:pos="9336"/>
        </w:tabs>
        <w:spacing w:before="92"/>
        <w:jc w:val="center"/>
        <w:rPr>
          <w:rFonts w:ascii="Chaparral Pro" w:hAnsi="Chaparral Pro"/>
          <w:color w:val="58595B"/>
          <w:shd w:val="clear" w:color="auto" w:fill="FAFAFA"/>
        </w:rPr>
      </w:pPr>
      <w:r w:rsidRPr="000A6D8C">
        <w:rPr>
          <w:rFonts w:ascii="Chaparral Pro" w:hAnsi="Chaparral Pro"/>
          <w:color w:val="58595B"/>
          <w:shd w:val="clear" w:color="auto" w:fill="FAFAFA"/>
        </w:rPr>
        <w:t>KALENDAR VAŽNIH DOGAĐANJA</w:t>
      </w:r>
      <w:r w:rsidRPr="000A6D8C">
        <w:rPr>
          <w:rFonts w:ascii="Chaparral Pro" w:hAnsi="Chaparral Pro"/>
          <w:color w:val="58595B"/>
          <w:spacing w:val="-9"/>
          <w:shd w:val="clear" w:color="auto" w:fill="FAFAFA"/>
        </w:rPr>
        <w:t xml:space="preserve"> </w:t>
      </w:r>
      <w:r w:rsidRPr="000A6D8C">
        <w:rPr>
          <w:rFonts w:ascii="Chaparral Pro" w:hAnsi="Chaparral Pro"/>
          <w:color w:val="58595B"/>
          <w:shd w:val="clear" w:color="auto" w:fill="FAFAFA"/>
        </w:rPr>
        <w:t>202</w:t>
      </w:r>
      <w:r w:rsidR="00A147A4">
        <w:rPr>
          <w:rFonts w:ascii="Chaparral Pro" w:hAnsi="Chaparral Pro"/>
          <w:color w:val="58595B"/>
          <w:shd w:val="clear" w:color="auto" w:fill="FAFAFA"/>
        </w:rPr>
        <w:t>6</w:t>
      </w:r>
      <w:r w:rsidR="005F1103">
        <w:rPr>
          <w:rFonts w:ascii="Chaparral Pro" w:hAnsi="Chaparral Pro"/>
          <w:color w:val="58595B"/>
          <w:shd w:val="clear" w:color="auto" w:fill="FAFAFA"/>
        </w:rPr>
        <w:t>.</w:t>
      </w:r>
    </w:p>
    <w:p w14:paraId="230A4942" w14:textId="77777777" w:rsidR="00232E4F" w:rsidRPr="00232E4F" w:rsidRDefault="00232E4F" w:rsidP="00232E4F">
      <w:pPr>
        <w:pStyle w:val="Tijeloteksta"/>
        <w:tabs>
          <w:tab w:val="left" w:pos="2095"/>
          <w:tab w:val="left" w:pos="9336"/>
        </w:tabs>
        <w:ind w:left="207"/>
        <w:jc w:val="center"/>
        <w:rPr>
          <w:rFonts w:ascii="Chaparral Pro" w:hAnsi="Chaparral Pro"/>
          <w:color w:val="58595B"/>
          <w:sz w:val="16"/>
          <w:szCs w:val="16"/>
          <w:shd w:val="clear" w:color="auto" w:fill="FAFAFA"/>
        </w:rPr>
      </w:pPr>
    </w:p>
    <w:p w14:paraId="527F7A46" w14:textId="77777777" w:rsidR="004C7B5D" w:rsidRDefault="004C7B5D" w:rsidP="004C7B5D">
      <w:pPr>
        <w:pStyle w:val="Tijeloteksta"/>
        <w:spacing w:before="4"/>
        <w:rPr>
          <w:sz w:val="11"/>
        </w:rPr>
      </w:pPr>
    </w:p>
    <w:tbl>
      <w:tblPr>
        <w:tblStyle w:val="TableNormal1"/>
        <w:tblW w:w="96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691"/>
      </w:tblGrid>
      <w:tr w:rsidR="004C7B5D" w:rsidRPr="00371B46" w14:paraId="6C32FFDC" w14:textId="77777777" w:rsidTr="00713081">
        <w:trPr>
          <w:trHeight w:val="537"/>
          <w:jc w:val="center"/>
        </w:trPr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7F82B0FC" w14:textId="77777777" w:rsidR="004C7B5D" w:rsidRPr="00232E4F" w:rsidRDefault="004C7B5D" w:rsidP="0024288B">
            <w:pPr>
              <w:pStyle w:val="TableParagraph"/>
              <w:spacing w:before="22"/>
              <w:ind w:left="177" w:right="166"/>
              <w:rPr>
                <w:b/>
              </w:rPr>
            </w:pPr>
            <w:r w:rsidRPr="00232E4F">
              <w:rPr>
                <w:b/>
                <w:color w:val="58595B"/>
              </w:rPr>
              <w:t>ROK</w:t>
            </w:r>
          </w:p>
        </w:tc>
        <w:tc>
          <w:tcPr>
            <w:tcW w:w="6691" w:type="dxa"/>
            <w:shd w:val="clear" w:color="auto" w:fill="BFBFBF" w:themeFill="background1" w:themeFillShade="BF"/>
            <w:vAlign w:val="center"/>
          </w:tcPr>
          <w:p w14:paraId="53CCA06B" w14:textId="77777777" w:rsidR="004C7B5D" w:rsidRPr="00232E4F" w:rsidRDefault="004C7B5D" w:rsidP="0024288B">
            <w:pPr>
              <w:pStyle w:val="TableParagraph"/>
              <w:spacing w:before="22"/>
              <w:ind w:left="467" w:right="450"/>
              <w:rPr>
                <w:b/>
              </w:rPr>
            </w:pPr>
            <w:r w:rsidRPr="00232E4F">
              <w:rPr>
                <w:b/>
                <w:color w:val="58595B"/>
              </w:rPr>
              <w:t>NAZIV DOGAĐANJA</w:t>
            </w:r>
          </w:p>
        </w:tc>
      </w:tr>
      <w:tr w:rsidR="004C7B5D" w14:paraId="5DC7F65A" w14:textId="77777777" w:rsidTr="00713081">
        <w:trPr>
          <w:trHeight w:val="538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7B8E96B3" w14:textId="6B0BCE98" w:rsidR="004C7B5D" w:rsidRPr="00232E4F" w:rsidRDefault="00224EA5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Siječanj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3B5F9AF1" w14:textId="5CF59F8C" w:rsidR="00797F96" w:rsidRPr="00232E4F" w:rsidRDefault="00103C73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Plan javne nabave (objava EOJN)</w:t>
            </w:r>
            <w:r w:rsidR="00F2047D">
              <w:rPr>
                <w:color w:val="4C4C4C"/>
              </w:rPr>
              <w:t xml:space="preserve"> </w:t>
            </w:r>
          </w:p>
        </w:tc>
      </w:tr>
      <w:tr w:rsidR="00224EA5" w14:paraId="7F834A80" w14:textId="77777777" w:rsidTr="00713081">
        <w:trPr>
          <w:trHeight w:val="546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2F887619" w14:textId="6D3BF14F" w:rsidR="00224EA5" w:rsidRPr="00232E4F" w:rsidRDefault="00224EA5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Ožujak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21276610" w14:textId="7121500B" w:rsidR="00224EA5" w:rsidRPr="00232E4F" w:rsidRDefault="00103C73" w:rsidP="00103C73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Izjava o fiskalnoj odgovornosti</w:t>
            </w:r>
          </w:p>
        </w:tc>
      </w:tr>
      <w:tr w:rsidR="00224EA5" w14:paraId="12F5CC4E" w14:textId="77777777" w:rsidTr="00713081">
        <w:trPr>
          <w:trHeight w:val="862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32880F6C" w14:textId="706987D5" w:rsidR="00224EA5" w:rsidRPr="00232E4F" w:rsidRDefault="00662AD7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kraja prvog kvartala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533C6F8B" w14:textId="714C41DE" w:rsidR="00662AD7" w:rsidRPr="00232E4F" w:rsidRDefault="00662AD7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Natječaj za zakup poslovnih prostora 1/2</w:t>
            </w:r>
            <w:r w:rsidR="005D4D09">
              <w:rPr>
                <w:color w:val="4C4C4C"/>
              </w:rPr>
              <w:t>6</w:t>
            </w:r>
          </w:p>
          <w:p w14:paraId="5090127E" w14:textId="18749F6E" w:rsidR="00662AD7" w:rsidRDefault="00662AD7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Natječaj za zakup poslovnih prostora 2/2</w:t>
            </w:r>
            <w:r w:rsidR="005D4D09">
              <w:rPr>
                <w:color w:val="4C4C4C"/>
              </w:rPr>
              <w:t>6</w:t>
            </w:r>
          </w:p>
          <w:p w14:paraId="679509E4" w14:textId="3B237C24" w:rsidR="005B2721" w:rsidRDefault="005B2721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094FF3">
              <w:rPr>
                <w:color w:val="4C4C4C"/>
              </w:rPr>
              <w:t xml:space="preserve">Natječaj za prodaju </w:t>
            </w:r>
            <w:r w:rsidR="002F24E9" w:rsidRPr="00094FF3">
              <w:rPr>
                <w:color w:val="4C4C4C"/>
              </w:rPr>
              <w:t>nekretnina 1/2</w:t>
            </w:r>
            <w:r w:rsidR="005D4D09" w:rsidRPr="00094FF3">
              <w:rPr>
                <w:color w:val="4C4C4C"/>
              </w:rPr>
              <w:t>6</w:t>
            </w:r>
          </w:p>
          <w:p w14:paraId="578B643A" w14:textId="2D097AA4" w:rsidR="008C4894" w:rsidRDefault="008C4894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nadzornog odbora</w:t>
            </w:r>
          </w:p>
          <w:p w14:paraId="65555556" w14:textId="402819FF" w:rsidR="008C4894" w:rsidRDefault="008C4894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revizijskog odbora</w:t>
            </w:r>
          </w:p>
          <w:p w14:paraId="31BD4DD7" w14:textId="5BCD9643" w:rsidR="008C4894" w:rsidRDefault="008C4894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Godišnje izvješće o radu funkcije praćenja usklađenosti</w:t>
            </w:r>
          </w:p>
          <w:p w14:paraId="28C46F7D" w14:textId="1F08EF9A" w:rsidR="00224EA5" w:rsidRPr="00232E4F" w:rsidRDefault="002E5280" w:rsidP="002E5280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Godišnje izvješće unutarnje revizije</w:t>
            </w:r>
          </w:p>
        </w:tc>
      </w:tr>
      <w:tr w:rsidR="00224EA5" w:rsidRPr="006F708A" w14:paraId="761DD494" w14:textId="77777777" w:rsidTr="00713081">
        <w:trPr>
          <w:trHeight w:val="862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0F66C6F2" w14:textId="47C5E377" w:rsidR="00224EA5" w:rsidRPr="00232E4F" w:rsidRDefault="00662AD7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30. travnja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3D4B1B20" w14:textId="77777777" w:rsidR="00224EA5" w:rsidRDefault="0014348B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 xml:space="preserve">Godišnje izvješće o poslovanju </w:t>
            </w:r>
          </w:p>
          <w:p w14:paraId="32D5ED89" w14:textId="77777777" w:rsidR="0014348B" w:rsidRDefault="0014348B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Godišnji financijski izvještaj (GFI-POD)</w:t>
            </w:r>
          </w:p>
          <w:p w14:paraId="2AFA5BDF" w14:textId="77777777" w:rsidR="0014348B" w:rsidRDefault="0014348B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Prijava poreza na dobit</w:t>
            </w:r>
          </w:p>
          <w:p w14:paraId="74EAFDF7" w14:textId="24465557" w:rsidR="0014348B" w:rsidRPr="00232E4F" w:rsidRDefault="0014348B" w:rsidP="00662AD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Tromjesečni izvještaj o poslovanju</w:t>
            </w:r>
          </w:p>
        </w:tc>
      </w:tr>
      <w:tr w:rsidR="00671D5D" w:rsidRPr="006F708A" w14:paraId="50EB2BD7" w14:textId="77777777" w:rsidTr="00713081">
        <w:trPr>
          <w:trHeight w:val="862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0AD2701A" w14:textId="618A9A00" w:rsidR="00671D5D" w:rsidRPr="00232E4F" w:rsidRDefault="00EB16DB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kraja drugog kvartala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0A0AD5DE" w14:textId="2CF533D9" w:rsidR="00EB16DB" w:rsidRPr="00232E4F" w:rsidRDefault="00EB16DB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041E2F">
              <w:rPr>
                <w:color w:val="4C4C4C"/>
              </w:rPr>
              <w:t>3</w:t>
            </w:r>
            <w:r w:rsidRPr="00232E4F">
              <w:rPr>
                <w:color w:val="4C4C4C"/>
              </w:rPr>
              <w:t>/2</w:t>
            </w:r>
            <w:r w:rsidR="004A6942">
              <w:rPr>
                <w:color w:val="4C4C4C"/>
              </w:rPr>
              <w:t>6</w:t>
            </w:r>
          </w:p>
          <w:p w14:paraId="5CBB6DCE" w14:textId="1260BB99" w:rsidR="00EB16DB" w:rsidRPr="00232E4F" w:rsidRDefault="00EB16DB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041E2F">
              <w:rPr>
                <w:color w:val="4C4C4C"/>
              </w:rPr>
              <w:t>4</w:t>
            </w:r>
            <w:r w:rsidRPr="00232E4F">
              <w:rPr>
                <w:color w:val="4C4C4C"/>
              </w:rPr>
              <w:t>/2</w:t>
            </w:r>
            <w:r w:rsidR="004A6942">
              <w:rPr>
                <w:color w:val="4C4C4C"/>
              </w:rPr>
              <w:t>6</w:t>
            </w:r>
          </w:p>
          <w:p w14:paraId="1D704E9B" w14:textId="1D3BE8E2" w:rsidR="00EB16DB" w:rsidRDefault="00EB16DB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041E2F">
              <w:rPr>
                <w:color w:val="4C4C4C"/>
              </w:rPr>
              <w:t>5</w:t>
            </w:r>
            <w:r w:rsidRPr="00232E4F">
              <w:rPr>
                <w:color w:val="4C4C4C"/>
              </w:rPr>
              <w:t>/2</w:t>
            </w:r>
            <w:r w:rsidR="004A6942">
              <w:rPr>
                <w:color w:val="4C4C4C"/>
              </w:rPr>
              <w:t>6</w:t>
            </w:r>
          </w:p>
          <w:p w14:paraId="4C13679F" w14:textId="2D62F7BB" w:rsidR="00DD24B4" w:rsidRPr="00E038D2" w:rsidRDefault="00DD24B4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1D550B">
              <w:rPr>
                <w:color w:val="4C4C4C"/>
              </w:rPr>
              <w:t>Natječaj za prodaju nekretnina 2/2</w:t>
            </w:r>
            <w:r w:rsidR="004A6942" w:rsidRPr="001D550B">
              <w:rPr>
                <w:color w:val="4C4C4C"/>
              </w:rPr>
              <w:t>6</w:t>
            </w:r>
          </w:p>
          <w:p w14:paraId="6B715113" w14:textId="70F095B3" w:rsidR="00223D79" w:rsidRDefault="00223D79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nadzornog odbora</w:t>
            </w:r>
          </w:p>
          <w:p w14:paraId="547DF2F1" w14:textId="430744AA" w:rsidR="00223D79" w:rsidRDefault="00223D79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revizijskog odbora</w:t>
            </w:r>
          </w:p>
          <w:p w14:paraId="610858BD" w14:textId="71CD51ED" w:rsidR="00223D79" w:rsidRDefault="00223D79" w:rsidP="00EB16D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skupštine</w:t>
            </w:r>
          </w:p>
          <w:p w14:paraId="46233D15" w14:textId="7F7ABB63" w:rsidR="00671D5D" w:rsidRPr="003D6DE5" w:rsidRDefault="00D22658" w:rsidP="00713081">
            <w:pPr>
              <w:pStyle w:val="TableParagraph"/>
              <w:spacing w:before="51"/>
              <w:ind w:left="0"/>
              <w:rPr>
                <w:color w:val="545454"/>
              </w:rPr>
            </w:pPr>
            <w:r>
              <w:rPr>
                <w:color w:val="4C4C4C"/>
              </w:rPr>
              <w:t>Godišnje izvješće i financijski izvještaj s izvješćem neovisnog revizora</w:t>
            </w:r>
            <w:r w:rsidR="003D6DE5" w:rsidRPr="00232E4F">
              <w:rPr>
                <w:color w:val="545454"/>
              </w:rPr>
              <w:t xml:space="preserve"> </w:t>
            </w:r>
          </w:p>
        </w:tc>
      </w:tr>
      <w:tr w:rsidR="004C7B5D" w14:paraId="5FF3EDBB" w14:textId="77777777" w:rsidTr="00713081">
        <w:trPr>
          <w:trHeight w:val="446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5B42BCA0" w14:textId="67E32078" w:rsidR="004C7B5D" w:rsidRPr="00232E4F" w:rsidRDefault="008B1DCF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31. srpnja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71E7AD65" w14:textId="4D38A7C6" w:rsidR="00E038D2" w:rsidRPr="00232E4F" w:rsidRDefault="00D22658" w:rsidP="001D550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Polugodišnji izvještaj o poslovanju</w:t>
            </w:r>
          </w:p>
        </w:tc>
      </w:tr>
      <w:tr w:rsidR="004C7B5D" w:rsidRPr="0076636F" w14:paraId="53C45A3A" w14:textId="77777777" w:rsidTr="00713081">
        <w:trPr>
          <w:trHeight w:val="830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2BF40A75" w14:textId="77777777" w:rsidR="004C7B5D" w:rsidRPr="00232E4F" w:rsidRDefault="004C7B5D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kraja trećeg kvartala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4C41F715" w14:textId="5BD276A5" w:rsidR="004C7B5D" w:rsidRPr="00232E4F" w:rsidRDefault="004C7B5D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041E2F">
              <w:rPr>
                <w:color w:val="4C4C4C"/>
              </w:rPr>
              <w:t>6</w:t>
            </w:r>
            <w:r w:rsidRPr="00232E4F">
              <w:rPr>
                <w:color w:val="4C4C4C"/>
              </w:rPr>
              <w:t>/2</w:t>
            </w:r>
            <w:r w:rsidR="007C725B">
              <w:rPr>
                <w:color w:val="4C4C4C"/>
              </w:rPr>
              <w:t>6</w:t>
            </w:r>
          </w:p>
          <w:p w14:paraId="19B0AC89" w14:textId="114D1CD2" w:rsidR="004C7B5D" w:rsidRDefault="004C7B5D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041E2F">
              <w:rPr>
                <w:color w:val="4C4C4C"/>
              </w:rPr>
              <w:t>7</w:t>
            </w:r>
            <w:r w:rsidRPr="00232E4F">
              <w:rPr>
                <w:color w:val="4C4C4C"/>
              </w:rPr>
              <w:t>/2</w:t>
            </w:r>
            <w:r w:rsidR="007C725B">
              <w:rPr>
                <w:color w:val="4C4C4C"/>
              </w:rPr>
              <w:t>6</w:t>
            </w:r>
          </w:p>
          <w:p w14:paraId="2C438DB0" w14:textId="369F751A" w:rsidR="001D550B" w:rsidRPr="001D550B" w:rsidRDefault="001D550B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1D550B">
              <w:rPr>
                <w:color w:val="4C4C4C"/>
              </w:rPr>
              <w:t>Natječaj za prodaju nekretnina 3/26</w:t>
            </w:r>
          </w:p>
          <w:p w14:paraId="3C69B9E9" w14:textId="7EC82ED9" w:rsidR="009019A7" w:rsidRPr="00232E4F" w:rsidRDefault="009019A7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1D550B">
              <w:rPr>
                <w:color w:val="4C4C4C"/>
              </w:rPr>
              <w:t xml:space="preserve">Natječaj za prodaju nekretnina </w:t>
            </w:r>
            <w:r w:rsidR="00973C39" w:rsidRPr="001D550B">
              <w:rPr>
                <w:color w:val="4C4C4C"/>
              </w:rPr>
              <w:t>4/2</w:t>
            </w:r>
            <w:r w:rsidR="00A85616" w:rsidRPr="001D550B">
              <w:rPr>
                <w:color w:val="4C4C4C"/>
              </w:rPr>
              <w:t>6</w:t>
            </w:r>
          </w:p>
          <w:p w14:paraId="4CACFC16" w14:textId="277325C4" w:rsidR="005C6BA3" w:rsidRDefault="005C6BA3" w:rsidP="00932E22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nadzornog odbora</w:t>
            </w:r>
          </w:p>
          <w:p w14:paraId="53A09D6E" w14:textId="2273AEB1" w:rsidR="004C7B5D" w:rsidRPr="00232E4F" w:rsidRDefault="005C6BA3" w:rsidP="00713081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revizijskog odbora</w:t>
            </w:r>
          </w:p>
        </w:tc>
      </w:tr>
      <w:tr w:rsidR="008B1DCF" w14:paraId="2D385AAA" w14:textId="77777777" w:rsidTr="00713081">
        <w:trPr>
          <w:trHeight w:val="521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1D1FACD5" w14:textId="1ECB02FF" w:rsidR="008B1DCF" w:rsidRPr="00232E4F" w:rsidRDefault="008B1DCF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31. listopada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633617B5" w14:textId="344BFC3D" w:rsidR="008B1DCF" w:rsidRPr="00232E4F" w:rsidRDefault="00C56954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Devetomjesečni izvještaj o poslovanju</w:t>
            </w:r>
            <w:r w:rsidR="00334009">
              <w:rPr>
                <w:color w:val="4C4C4C"/>
              </w:rPr>
              <w:t xml:space="preserve">  </w:t>
            </w:r>
          </w:p>
        </w:tc>
      </w:tr>
      <w:tr w:rsidR="004C7B5D" w:rsidRPr="006F708A" w14:paraId="2F9610D8" w14:textId="77777777" w:rsidTr="00713081">
        <w:trPr>
          <w:trHeight w:val="814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2EC65809" w14:textId="77777777" w:rsidR="004C7B5D" w:rsidRPr="00232E4F" w:rsidRDefault="004C7B5D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Do kraja četvrtog kvartala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0A2C1981" w14:textId="6F9DEE12" w:rsidR="004C7B5D" w:rsidRDefault="004C7B5D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041E2F">
              <w:rPr>
                <w:color w:val="4C4C4C"/>
              </w:rPr>
              <w:t>8</w:t>
            </w:r>
            <w:r w:rsidRPr="00232E4F">
              <w:rPr>
                <w:color w:val="4C4C4C"/>
              </w:rPr>
              <w:t>/2</w:t>
            </w:r>
            <w:r w:rsidR="007C725B">
              <w:rPr>
                <w:color w:val="4C4C4C"/>
              </w:rPr>
              <w:t>6</w:t>
            </w:r>
          </w:p>
          <w:p w14:paraId="04F6A80E" w14:textId="10EDBEFC" w:rsidR="00041E2F" w:rsidRPr="00232E4F" w:rsidRDefault="00041E2F" w:rsidP="00041E2F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>
              <w:rPr>
                <w:color w:val="4C4C4C"/>
              </w:rPr>
              <w:t>9</w:t>
            </w:r>
            <w:r w:rsidRPr="00232E4F">
              <w:rPr>
                <w:color w:val="4C4C4C"/>
              </w:rPr>
              <w:t>/2</w:t>
            </w:r>
            <w:r w:rsidR="007C725B">
              <w:rPr>
                <w:color w:val="4C4C4C"/>
              </w:rPr>
              <w:t>6</w:t>
            </w:r>
          </w:p>
          <w:p w14:paraId="58DB213C" w14:textId="0D19B40D" w:rsidR="004C7B5D" w:rsidRDefault="004C7B5D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 xml:space="preserve">Natječaj za zakup poslovnih prostora </w:t>
            </w:r>
            <w:r w:rsidR="00D145C4" w:rsidRPr="00232E4F">
              <w:rPr>
                <w:color w:val="4C4C4C"/>
              </w:rPr>
              <w:t>10</w:t>
            </w:r>
            <w:r w:rsidRPr="00232E4F">
              <w:rPr>
                <w:color w:val="4C4C4C"/>
              </w:rPr>
              <w:t>/2</w:t>
            </w:r>
            <w:r w:rsidR="007C725B">
              <w:rPr>
                <w:color w:val="4C4C4C"/>
              </w:rPr>
              <w:t>6</w:t>
            </w:r>
          </w:p>
          <w:p w14:paraId="06428FFF" w14:textId="1ADCDD22" w:rsidR="00973C39" w:rsidRDefault="00973C39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8D2B49">
              <w:rPr>
                <w:color w:val="4C4C4C"/>
              </w:rPr>
              <w:t>Natječaj za prodaju nekretnina 5/2</w:t>
            </w:r>
            <w:r w:rsidR="008D2B49" w:rsidRPr="008D2B49">
              <w:rPr>
                <w:color w:val="4C4C4C"/>
              </w:rPr>
              <w:t>6</w:t>
            </w:r>
          </w:p>
          <w:p w14:paraId="50A85E80" w14:textId="0F9AC377" w:rsidR="008D2B49" w:rsidRDefault="008D2B49" w:rsidP="008D2B49">
            <w:pPr>
              <w:pStyle w:val="TableParagraph"/>
              <w:spacing w:before="51"/>
              <w:ind w:left="0"/>
              <w:rPr>
                <w:color w:val="4C4C4C"/>
              </w:rPr>
            </w:pPr>
            <w:r w:rsidRPr="008D2B49">
              <w:rPr>
                <w:color w:val="4C4C4C"/>
              </w:rPr>
              <w:t xml:space="preserve">Natječaj za prodaju nekretnina </w:t>
            </w:r>
            <w:r>
              <w:rPr>
                <w:color w:val="4C4C4C"/>
              </w:rPr>
              <w:t>6</w:t>
            </w:r>
            <w:r w:rsidRPr="008D2B49">
              <w:rPr>
                <w:color w:val="4C4C4C"/>
              </w:rPr>
              <w:t>/26</w:t>
            </w:r>
          </w:p>
          <w:p w14:paraId="25D84A35" w14:textId="2226EF8C" w:rsidR="00354DB7" w:rsidRDefault="00354DB7" w:rsidP="0024288B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 xml:space="preserve">Sjednica nadzornog odbora </w:t>
            </w:r>
          </w:p>
          <w:p w14:paraId="5BBE537F" w14:textId="6C1E0152" w:rsidR="004C7B5D" w:rsidRPr="00232E4F" w:rsidRDefault="00354DB7" w:rsidP="00354DB7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Sjednica revizijskog odbora</w:t>
            </w:r>
          </w:p>
        </w:tc>
      </w:tr>
      <w:tr w:rsidR="004C7B5D" w:rsidRPr="006F708A" w14:paraId="73799DC5" w14:textId="77777777" w:rsidTr="00713081">
        <w:trPr>
          <w:trHeight w:val="407"/>
          <w:jc w:val="center"/>
        </w:trPr>
        <w:tc>
          <w:tcPr>
            <w:tcW w:w="2978" w:type="dxa"/>
            <w:shd w:val="clear" w:color="auto" w:fill="FAFAFA"/>
            <w:vAlign w:val="center"/>
          </w:tcPr>
          <w:p w14:paraId="2B1102EA" w14:textId="2E3271AB" w:rsidR="004C7B5D" w:rsidRPr="00232E4F" w:rsidRDefault="008B1DCF" w:rsidP="0024288B">
            <w:pPr>
              <w:pStyle w:val="TableParagraph"/>
              <w:spacing w:before="3" w:line="320" w:lineRule="atLeast"/>
              <w:ind w:left="0"/>
              <w:rPr>
                <w:color w:val="4C4C4C"/>
              </w:rPr>
            </w:pPr>
            <w:r w:rsidRPr="00232E4F">
              <w:rPr>
                <w:color w:val="4C4C4C"/>
              </w:rPr>
              <w:t>Prosinac</w:t>
            </w:r>
          </w:p>
        </w:tc>
        <w:tc>
          <w:tcPr>
            <w:tcW w:w="6691" w:type="dxa"/>
            <w:shd w:val="clear" w:color="auto" w:fill="FAFAFA"/>
            <w:vAlign w:val="center"/>
          </w:tcPr>
          <w:p w14:paraId="256CD422" w14:textId="77777777" w:rsidR="004C7B5D" w:rsidRDefault="009C6802" w:rsidP="008B1DCF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Godišnji plan rada funkcije praćenja usklađenosti</w:t>
            </w:r>
          </w:p>
          <w:p w14:paraId="556AD873" w14:textId="77777777" w:rsidR="00334009" w:rsidRDefault="00334009" w:rsidP="008B1DCF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 xml:space="preserve">Plan poslovanja  </w:t>
            </w:r>
          </w:p>
          <w:p w14:paraId="46A999AF" w14:textId="75F37576" w:rsidR="00E606CC" w:rsidRPr="00232E4F" w:rsidRDefault="00E606CC" w:rsidP="008B1DCF">
            <w:pPr>
              <w:pStyle w:val="TableParagraph"/>
              <w:spacing w:before="51"/>
              <w:ind w:left="0"/>
              <w:rPr>
                <w:color w:val="4C4C4C"/>
              </w:rPr>
            </w:pPr>
            <w:r>
              <w:rPr>
                <w:color w:val="4C4C4C"/>
              </w:rPr>
              <w:t>Strateški i godišnji plan unutarnje revizije</w:t>
            </w:r>
          </w:p>
        </w:tc>
      </w:tr>
    </w:tbl>
    <w:p w14:paraId="0F01C4FE" w14:textId="77777777" w:rsidR="00713081" w:rsidRPr="0076636F" w:rsidRDefault="00713081" w:rsidP="00713081">
      <w:pPr>
        <w:rPr>
          <w:rFonts w:ascii="Times New Roman" w:eastAsia="CarolinaBar-B39-25F2" w:hAnsi="Times New Roman" w:cs="Times New Roman"/>
          <w:sz w:val="24"/>
          <w:szCs w:val="18"/>
          <w:lang w:val="pl-PL"/>
        </w:rPr>
      </w:pPr>
    </w:p>
    <w:sectPr w:rsidR="00713081" w:rsidRPr="0076636F" w:rsidSect="00713081">
      <w:headerReference w:type="default" r:id="rId10"/>
      <w:footerReference w:type="default" r:id="rId11"/>
      <w:pgSz w:w="11906" w:h="16838"/>
      <w:pgMar w:top="1276" w:right="1417" w:bottom="426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FBBB" w14:textId="77777777" w:rsidR="00B640B5" w:rsidRDefault="00B640B5" w:rsidP="000D4E4B">
      <w:pPr>
        <w:spacing w:after="0" w:line="240" w:lineRule="auto"/>
      </w:pPr>
      <w:r>
        <w:separator/>
      </w:r>
    </w:p>
  </w:endnote>
  <w:endnote w:type="continuationSeparator" w:id="0">
    <w:p w14:paraId="35205EB9" w14:textId="77777777" w:rsidR="00B640B5" w:rsidRDefault="00B640B5" w:rsidP="000D4E4B">
      <w:pPr>
        <w:spacing w:after="0" w:line="240" w:lineRule="auto"/>
      </w:pPr>
      <w:r>
        <w:continuationSeparator/>
      </w:r>
    </w:p>
  </w:endnote>
  <w:endnote w:type="continuationNotice" w:id="1">
    <w:p w14:paraId="3DBB4408" w14:textId="77777777" w:rsidR="00B640B5" w:rsidRDefault="00B64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0889200B" w:rsidR="000D4E4B" w:rsidRDefault="000D4E4B" w:rsidP="000D557C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DB18" w14:textId="77777777" w:rsidR="00B640B5" w:rsidRDefault="00B640B5" w:rsidP="000D4E4B">
      <w:pPr>
        <w:spacing w:after="0" w:line="240" w:lineRule="auto"/>
      </w:pPr>
      <w:r>
        <w:separator/>
      </w:r>
    </w:p>
  </w:footnote>
  <w:footnote w:type="continuationSeparator" w:id="0">
    <w:p w14:paraId="58093D44" w14:textId="77777777" w:rsidR="00B640B5" w:rsidRDefault="00B640B5" w:rsidP="000D4E4B">
      <w:pPr>
        <w:spacing w:after="0" w:line="240" w:lineRule="auto"/>
      </w:pPr>
      <w:r>
        <w:continuationSeparator/>
      </w:r>
    </w:p>
  </w:footnote>
  <w:footnote w:type="continuationNotice" w:id="1">
    <w:p w14:paraId="554B6A61" w14:textId="77777777" w:rsidR="00B640B5" w:rsidRDefault="00B64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Zaglavlje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2092898393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9561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R7vegzsJs7mwT9GI0ayC8LWmrbTAhBrEtWcHw1KAdO8942O+xSSovRipWtfLuehetmz1A20Ms5q1yRW44jDGg==" w:salt="EpFUgsqWsEGXl3Os5Y5N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E5E"/>
    <w:rsid w:val="00037892"/>
    <w:rsid w:val="00041E2F"/>
    <w:rsid w:val="0006595F"/>
    <w:rsid w:val="0008751A"/>
    <w:rsid w:val="00094FF3"/>
    <w:rsid w:val="000A60EF"/>
    <w:rsid w:val="000A6D8C"/>
    <w:rsid w:val="000D4E4B"/>
    <w:rsid w:val="000D557C"/>
    <w:rsid w:val="000F4580"/>
    <w:rsid w:val="00103C73"/>
    <w:rsid w:val="0014348B"/>
    <w:rsid w:val="001438F8"/>
    <w:rsid w:val="0016790B"/>
    <w:rsid w:val="001D3BDC"/>
    <w:rsid w:val="001D550B"/>
    <w:rsid w:val="001E3EF2"/>
    <w:rsid w:val="00202476"/>
    <w:rsid w:val="00212EBC"/>
    <w:rsid w:val="00223D79"/>
    <w:rsid w:val="00224EA5"/>
    <w:rsid w:val="002273B1"/>
    <w:rsid w:val="00232E4F"/>
    <w:rsid w:val="0024288B"/>
    <w:rsid w:val="00247764"/>
    <w:rsid w:val="002A0E68"/>
    <w:rsid w:val="002A10AB"/>
    <w:rsid w:val="002E0F7D"/>
    <w:rsid w:val="002E5280"/>
    <w:rsid w:val="002F24E9"/>
    <w:rsid w:val="002F4E2E"/>
    <w:rsid w:val="0031031F"/>
    <w:rsid w:val="00315DB8"/>
    <w:rsid w:val="00320BF6"/>
    <w:rsid w:val="003252DA"/>
    <w:rsid w:val="00334009"/>
    <w:rsid w:val="00345B74"/>
    <w:rsid w:val="00354DB7"/>
    <w:rsid w:val="00376CCB"/>
    <w:rsid w:val="003A0106"/>
    <w:rsid w:val="003B5F13"/>
    <w:rsid w:val="003D2BA9"/>
    <w:rsid w:val="003D6DE5"/>
    <w:rsid w:val="003F42B1"/>
    <w:rsid w:val="00403C8F"/>
    <w:rsid w:val="004250E4"/>
    <w:rsid w:val="00427B1D"/>
    <w:rsid w:val="00432969"/>
    <w:rsid w:val="004364F3"/>
    <w:rsid w:val="004476B4"/>
    <w:rsid w:val="004A68C1"/>
    <w:rsid w:val="004A6942"/>
    <w:rsid w:val="004B6E14"/>
    <w:rsid w:val="004B6E68"/>
    <w:rsid w:val="004C14E4"/>
    <w:rsid w:val="004C7B5D"/>
    <w:rsid w:val="004E0E74"/>
    <w:rsid w:val="004F04DA"/>
    <w:rsid w:val="004F6B5B"/>
    <w:rsid w:val="00500DA5"/>
    <w:rsid w:val="00551B88"/>
    <w:rsid w:val="00556EB2"/>
    <w:rsid w:val="00561641"/>
    <w:rsid w:val="00586170"/>
    <w:rsid w:val="00594746"/>
    <w:rsid w:val="00597950"/>
    <w:rsid w:val="005B2721"/>
    <w:rsid w:val="005B77CC"/>
    <w:rsid w:val="005C6BA3"/>
    <w:rsid w:val="005D4D09"/>
    <w:rsid w:val="005F1103"/>
    <w:rsid w:val="005F570D"/>
    <w:rsid w:val="0060414B"/>
    <w:rsid w:val="0060622A"/>
    <w:rsid w:val="0061506E"/>
    <w:rsid w:val="00625684"/>
    <w:rsid w:val="00641F4C"/>
    <w:rsid w:val="00662AD7"/>
    <w:rsid w:val="00671D5D"/>
    <w:rsid w:val="00677A17"/>
    <w:rsid w:val="00681E11"/>
    <w:rsid w:val="006B5604"/>
    <w:rsid w:val="006F2693"/>
    <w:rsid w:val="006F708A"/>
    <w:rsid w:val="00711F02"/>
    <w:rsid w:val="00713081"/>
    <w:rsid w:val="00724A4C"/>
    <w:rsid w:val="00752468"/>
    <w:rsid w:val="0076636F"/>
    <w:rsid w:val="0078386C"/>
    <w:rsid w:val="007875D4"/>
    <w:rsid w:val="00797F96"/>
    <w:rsid w:val="007C4411"/>
    <w:rsid w:val="007C725B"/>
    <w:rsid w:val="007D1EE1"/>
    <w:rsid w:val="007E2699"/>
    <w:rsid w:val="007E271A"/>
    <w:rsid w:val="007E6205"/>
    <w:rsid w:val="00803175"/>
    <w:rsid w:val="00810949"/>
    <w:rsid w:val="008114FD"/>
    <w:rsid w:val="00816C33"/>
    <w:rsid w:val="0082529A"/>
    <w:rsid w:val="00876EEA"/>
    <w:rsid w:val="008A59AD"/>
    <w:rsid w:val="008B1DCF"/>
    <w:rsid w:val="008B3DCD"/>
    <w:rsid w:val="008B484E"/>
    <w:rsid w:val="008C4894"/>
    <w:rsid w:val="008D2B49"/>
    <w:rsid w:val="008F3DB0"/>
    <w:rsid w:val="0090161F"/>
    <w:rsid w:val="009019A7"/>
    <w:rsid w:val="00932E22"/>
    <w:rsid w:val="00957F80"/>
    <w:rsid w:val="00973C39"/>
    <w:rsid w:val="009B26F8"/>
    <w:rsid w:val="009C6802"/>
    <w:rsid w:val="009F1925"/>
    <w:rsid w:val="00A0596C"/>
    <w:rsid w:val="00A147A4"/>
    <w:rsid w:val="00A34359"/>
    <w:rsid w:val="00A36635"/>
    <w:rsid w:val="00A85616"/>
    <w:rsid w:val="00AA5A2B"/>
    <w:rsid w:val="00AC7F34"/>
    <w:rsid w:val="00B05BC0"/>
    <w:rsid w:val="00B45ECD"/>
    <w:rsid w:val="00B640B5"/>
    <w:rsid w:val="00B808C5"/>
    <w:rsid w:val="00B8753E"/>
    <w:rsid w:val="00B92F94"/>
    <w:rsid w:val="00BC1B0C"/>
    <w:rsid w:val="00BC7EBF"/>
    <w:rsid w:val="00BF749D"/>
    <w:rsid w:val="00C00A04"/>
    <w:rsid w:val="00C366E9"/>
    <w:rsid w:val="00C52308"/>
    <w:rsid w:val="00C52E2C"/>
    <w:rsid w:val="00C56308"/>
    <w:rsid w:val="00C56954"/>
    <w:rsid w:val="00C62AE7"/>
    <w:rsid w:val="00CC466C"/>
    <w:rsid w:val="00D124A9"/>
    <w:rsid w:val="00D13CDD"/>
    <w:rsid w:val="00D145C4"/>
    <w:rsid w:val="00D14A7E"/>
    <w:rsid w:val="00D22658"/>
    <w:rsid w:val="00D81DF9"/>
    <w:rsid w:val="00D86957"/>
    <w:rsid w:val="00DC0306"/>
    <w:rsid w:val="00DD1D2C"/>
    <w:rsid w:val="00DD24B4"/>
    <w:rsid w:val="00E038D2"/>
    <w:rsid w:val="00E36BF2"/>
    <w:rsid w:val="00E430FA"/>
    <w:rsid w:val="00E55F5B"/>
    <w:rsid w:val="00E606CC"/>
    <w:rsid w:val="00EB16DB"/>
    <w:rsid w:val="00EC2D64"/>
    <w:rsid w:val="00ED3C95"/>
    <w:rsid w:val="00EE4D40"/>
    <w:rsid w:val="00F2047D"/>
    <w:rsid w:val="00F24875"/>
    <w:rsid w:val="00F41971"/>
    <w:rsid w:val="00F42F1E"/>
    <w:rsid w:val="00F4350B"/>
    <w:rsid w:val="00F76BE9"/>
    <w:rsid w:val="00F83249"/>
    <w:rsid w:val="00FA0F52"/>
    <w:rsid w:val="00FC6ADF"/>
    <w:rsid w:val="00FD3F2F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3413C23C-9360-44AC-8AEE-121097E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iperveza">
    <w:name w:val="Hyperlink"/>
    <w:rsid w:val="002F4E2E"/>
    <w:rPr>
      <w:color w:val="0563C1"/>
      <w:u w:val="single"/>
    </w:rPr>
  </w:style>
  <w:style w:type="table" w:customStyle="1" w:styleId="TableNormal1">
    <w:name w:val="Table Normal1"/>
    <w:uiPriority w:val="2"/>
    <w:semiHidden/>
    <w:unhideWhenUsed/>
    <w:qFormat/>
    <w:rsid w:val="004C7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C7B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val="hr-HR"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7B5D"/>
    <w:rPr>
      <w:rFonts w:ascii="Arial" w:eastAsia="Arial" w:hAnsi="Arial" w:cs="Arial"/>
      <w:b/>
      <w:bCs/>
      <w:sz w:val="28"/>
      <w:szCs w:val="28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4C7B5D"/>
    <w:pPr>
      <w:widowControl w:val="0"/>
      <w:autoSpaceDE w:val="0"/>
      <w:autoSpaceDN w:val="0"/>
      <w:spacing w:before="35" w:after="0" w:line="240" w:lineRule="auto"/>
      <w:ind w:left="178"/>
      <w:jc w:val="center"/>
    </w:pPr>
    <w:rPr>
      <w:rFonts w:ascii="Chaparral Pro" w:eastAsia="Chaparral Pro" w:hAnsi="Chaparral Pro" w:cs="Chaparral Pro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A72D2-FF98-4502-91C5-8F8F14564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Željka Franić</cp:lastModifiedBy>
  <cp:revision>4</cp:revision>
  <cp:lastPrinted>2024-12-16T08:48:00Z</cp:lastPrinted>
  <dcterms:created xsi:type="dcterms:W3CDTF">2026-04-14T07:44:00Z</dcterms:created>
  <dcterms:modified xsi:type="dcterms:W3CDTF">2026-04-14T16:05:00Z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